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07F9" w14:textId="77777777" w:rsidR="00DE0DD9" w:rsidRPr="003F3BB6" w:rsidRDefault="00DE0DD9" w:rsidP="00DE0DD9">
      <w:pPr>
        <w:pStyle w:val="Heading4"/>
        <w:rPr>
          <w:rFonts w:cs="Arial"/>
          <w:sz w:val="20"/>
          <w:szCs w:val="20"/>
          <w:lang w:val="en-US"/>
        </w:rPr>
      </w:pPr>
      <w:bookmarkStart w:id="0" w:name="_GoBack"/>
      <w:bookmarkEnd w:id="0"/>
      <w:r w:rsidRPr="003F3BB6">
        <w:rPr>
          <w:sz w:val="20"/>
          <w:szCs w:val="20"/>
          <w:u w:val="none"/>
          <w:lang w:eastAsia="en-GB"/>
        </w:rPr>
        <w:drawing>
          <wp:anchor distT="0" distB="0" distL="114300" distR="114300" simplePos="0" relativeHeight="251658240" behindDoc="0" locked="0" layoutInCell="1" allowOverlap="1" wp14:anchorId="338CDE28" wp14:editId="3E336B0A">
            <wp:simplePos x="0" y="0"/>
            <wp:positionH relativeFrom="margin">
              <wp:posOffset>7653655</wp:posOffset>
            </wp:positionH>
            <wp:positionV relativeFrom="margin">
              <wp:posOffset>-1579880</wp:posOffset>
            </wp:positionV>
            <wp:extent cx="1057910" cy="10723880"/>
            <wp:effectExtent l="19050" t="0" r="8890" b="0"/>
            <wp:wrapSquare wrapText="bothSides"/>
            <wp:docPr id="2" name="Picture 2" descr="AlphaFenc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FenceStrip"/>
                    <pic:cNvPicPr>
                      <a:picLocks noChangeAspect="1" noChangeArrowheads="1"/>
                    </pic:cNvPicPr>
                  </pic:nvPicPr>
                  <pic:blipFill>
                    <a:blip r:embed="rId5" cstate="print"/>
                    <a:srcRect/>
                    <a:stretch>
                      <a:fillRect/>
                    </a:stretch>
                  </pic:blipFill>
                  <pic:spPr bwMode="auto">
                    <a:xfrm>
                      <a:off x="0" y="0"/>
                      <a:ext cx="1057910" cy="10723880"/>
                    </a:xfrm>
                    <a:prstGeom prst="rect">
                      <a:avLst/>
                    </a:prstGeom>
                    <a:noFill/>
                  </pic:spPr>
                </pic:pic>
              </a:graphicData>
            </a:graphic>
          </wp:anchor>
        </w:drawing>
      </w:r>
      <w:r w:rsidRPr="003F3BB6">
        <w:rPr>
          <w:rFonts w:cs="Arial"/>
          <w:sz w:val="20"/>
          <w:szCs w:val="20"/>
          <w:lang w:val="en-US"/>
        </w:rPr>
        <w:t>HAND ARM VIBRATION POLICY</w:t>
      </w:r>
    </w:p>
    <w:p w14:paraId="40109108" w14:textId="77777777" w:rsidR="00DE0DD9" w:rsidRPr="003F3BB6" w:rsidRDefault="00DE0DD9" w:rsidP="00DE0DD9">
      <w:pPr>
        <w:autoSpaceDE w:val="0"/>
        <w:autoSpaceDN w:val="0"/>
        <w:adjustRightInd w:val="0"/>
        <w:jc w:val="both"/>
        <w:rPr>
          <w:rFonts w:cs="Arial"/>
          <w:b/>
          <w:bCs/>
          <w:sz w:val="20"/>
          <w:szCs w:val="20"/>
          <w:lang w:val="en-US"/>
        </w:rPr>
      </w:pPr>
    </w:p>
    <w:p w14:paraId="5698B4E0" w14:textId="77777777" w:rsidR="00DE0DD9" w:rsidRPr="003F3BB6" w:rsidRDefault="00DE0DD9" w:rsidP="00DE0DD9">
      <w:pPr>
        <w:autoSpaceDE w:val="0"/>
        <w:autoSpaceDN w:val="0"/>
        <w:adjustRightInd w:val="0"/>
        <w:jc w:val="both"/>
        <w:rPr>
          <w:rFonts w:cs="Arial"/>
          <w:b/>
          <w:bCs/>
          <w:sz w:val="20"/>
          <w:szCs w:val="20"/>
          <w:lang w:val="en-US"/>
        </w:rPr>
      </w:pPr>
      <w:r w:rsidRPr="003F3BB6">
        <w:rPr>
          <w:rFonts w:cs="Arial"/>
          <w:b/>
          <w:bCs/>
          <w:sz w:val="20"/>
          <w:szCs w:val="20"/>
          <w:lang w:val="en-US"/>
        </w:rPr>
        <w:t>INTRODUCTION:</w:t>
      </w:r>
    </w:p>
    <w:p w14:paraId="3B5FCE77" w14:textId="77777777" w:rsidR="00DE0DD9" w:rsidRPr="003F3BB6" w:rsidRDefault="00DE0DD9" w:rsidP="00DE0DD9">
      <w:pPr>
        <w:autoSpaceDE w:val="0"/>
        <w:autoSpaceDN w:val="0"/>
        <w:adjustRightInd w:val="0"/>
        <w:rPr>
          <w:rFonts w:ascii="HelveticaNeue-Light" w:hAnsi="HelveticaNeue-Light" w:cs="HelveticaNeue-Light"/>
          <w:noProof w:val="0"/>
          <w:sz w:val="20"/>
          <w:szCs w:val="20"/>
          <w:lang w:eastAsia="en-GB"/>
        </w:rPr>
      </w:pPr>
    </w:p>
    <w:p w14:paraId="658083F2" w14:textId="77777777" w:rsidR="00DE0DD9" w:rsidRPr="003F3BB6" w:rsidRDefault="00DE0DD9" w:rsidP="00DE0DD9">
      <w:pPr>
        <w:autoSpaceDE w:val="0"/>
        <w:autoSpaceDN w:val="0"/>
        <w:adjustRightInd w:val="0"/>
        <w:jc w:val="both"/>
        <w:rPr>
          <w:rFonts w:cs="Arial"/>
          <w:sz w:val="20"/>
          <w:szCs w:val="20"/>
        </w:rPr>
      </w:pPr>
      <w:r w:rsidRPr="003F3BB6">
        <w:rPr>
          <w:rFonts w:cs="Arial"/>
          <w:noProof w:val="0"/>
          <w:sz w:val="20"/>
          <w:szCs w:val="20"/>
          <w:lang w:eastAsia="en-GB"/>
        </w:rPr>
        <w:t>Hand-arm vibration (HAV) is transmitted from work processes into workers’ hands and arms. It can be caused by operating hand-held power tools, such as road breakers, hammer drills and angle-grinders (or by holding materials being processed by vibrating/grinding machines).</w:t>
      </w:r>
      <w:r w:rsidRPr="003F3BB6">
        <w:rPr>
          <w:rFonts w:cs="Arial"/>
          <w:sz w:val="20"/>
          <w:szCs w:val="20"/>
        </w:rPr>
        <w:t xml:space="preserve"> </w:t>
      </w:r>
    </w:p>
    <w:p w14:paraId="0E52B727" w14:textId="77777777" w:rsidR="00DE0DD9" w:rsidRPr="003F3BB6" w:rsidRDefault="00DE0DD9" w:rsidP="00DE0DD9">
      <w:pPr>
        <w:autoSpaceDE w:val="0"/>
        <w:autoSpaceDN w:val="0"/>
        <w:adjustRightInd w:val="0"/>
        <w:jc w:val="both"/>
        <w:rPr>
          <w:rFonts w:cs="Arial"/>
          <w:sz w:val="20"/>
          <w:szCs w:val="20"/>
        </w:rPr>
      </w:pPr>
    </w:p>
    <w:p w14:paraId="16491DA6" w14:textId="77777777" w:rsidR="00DE0DD9" w:rsidRPr="003F3BB6" w:rsidRDefault="00DE0DD9" w:rsidP="00DE0DD9">
      <w:pPr>
        <w:autoSpaceDE w:val="0"/>
        <w:autoSpaceDN w:val="0"/>
        <w:adjustRightInd w:val="0"/>
        <w:jc w:val="both"/>
        <w:rPr>
          <w:rFonts w:cs="Arial"/>
          <w:noProof w:val="0"/>
          <w:color w:val="000000"/>
          <w:sz w:val="20"/>
          <w:szCs w:val="20"/>
          <w:lang w:eastAsia="en-GB"/>
        </w:rPr>
      </w:pPr>
      <w:r w:rsidRPr="003F3BB6">
        <w:rPr>
          <w:rFonts w:cs="Arial"/>
          <w:noProof w:val="0"/>
          <w:sz w:val="20"/>
          <w:szCs w:val="20"/>
          <w:lang w:eastAsia="en-GB"/>
        </w:rPr>
        <w:t xml:space="preserve">Regular and frequent exposure to hand-arm vibration can lead to a range of detrimental health conditions collectively known as hand arm vibration syndrome (HAVS). The </w:t>
      </w:r>
      <w:r w:rsidRPr="003F3BB6">
        <w:rPr>
          <w:sz w:val="20"/>
          <w:szCs w:val="20"/>
        </w:rPr>
        <w:t xml:space="preserve">Control of Vibration at Work Regulations 2005 require an employer to protect its employees against HAVS by providing them with sufficient controls and guidance to enable the safe use of its power tools. </w:t>
      </w:r>
      <w:r w:rsidRPr="003F3BB6">
        <w:rPr>
          <w:rFonts w:cs="Arial"/>
          <w:noProof w:val="0"/>
          <w:color w:val="000000"/>
          <w:sz w:val="20"/>
          <w:szCs w:val="20"/>
          <w:lang w:eastAsia="en-GB"/>
        </w:rPr>
        <w:t xml:space="preserve">The Health &amp; Safety Executive determines safe levels of exposure by the exposure action value (EAV) and the exposure limit value (ELV). </w:t>
      </w:r>
    </w:p>
    <w:p w14:paraId="0E0331EA" w14:textId="77777777" w:rsidR="00DE0DD9" w:rsidRPr="003F3BB6" w:rsidRDefault="00DE0DD9" w:rsidP="00DE0DD9">
      <w:pPr>
        <w:autoSpaceDE w:val="0"/>
        <w:autoSpaceDN w:val="0"/>
        <w:adjustRightInd w:val="0"/>
        <w:jc w:val="both"/>
        <w:rPr>
          <w:rFonts w:cs="Arial"/>
          <w:noProof w:val="0"/>
          <w:color w:val="000000"/>
          <w:sz w:val="20"/>
          <w:szCs w:val="20"/>
          <w:lang w:eastAsia="en-GB"/>
        </w:rPr>
      </w:pPr>
    </w:p>
    <w:p w14:paraId="2B9E91DC" w14:textId="77777777" w:rsidR="00DE0DD9" w:rsidRPr="003F3BB6" w:rsidRDefault="00DE0DD9" w:rsidP="00DE0DD9">
      <w:pPr>
        <w:autoSpaceDE w:val="0"/>
        <w:autoSpaceDN w:val="0"/>
        <w:adjustRightInd w:val="0"/>
        <w:jc w:val="both"/>
        <w:rPr>
          <w:rFonts w:cs="Arial"/>
          <w:noProof w:val="0"/>
          <w:color w:val="000000"/>
          <w:sz w:val="20"/>
          <w:szCs w:val="20"/>
          <w:lang w:eastAsia="en-GB"/>
        </w:rPr>
      </w:pPr>
      <w:r w:rsidRPr="003F3BB6">
        <w:rPr>
          <w:rFonts w:cs="Arial"/>
          <w:noProof w:val="0"/>
          <w:color w:val="000000"/>
          <w:sz w:val="20"/>
          <w:szCs w:val="20"/>
          <w:lang w:eastAsia="en-GB"/>
        </w:rPr>
        <w:t xml:space="preserve">The EAV is a daily amount of vibration exposure above which employers are required to take action to control exposure. The greater the exposure level the greater the risk. For hand-arm vibration the EAV is a daily exposure of 2.5 m/s2 </w:t>
      </w:r>
      <w:r w:rsidRPr="003F3BB6">
        <w:rPr>
          <w:rFonts w:cs="Arial"/>
          <w:i/>
          <w:iCs/>
          <w:noProof w:val="0"/>
          <w:color w:val="000000"/>
          <w:sz w:val="20"/>
          <w:szCs w:val="20"/>
          <w:lang w:eastAsia="en-GB"/>
        </w:rPr>
        <w:t>A</w:t>
      </w:r>
      <w:r w:rsidRPr="003F3BB6">
        <w:rPr>
          <w:rFonts w:cs="Arial"/>
          <w:noProof w:val="0"/>
          <w:color w:val="000000"/>
          <w:sz w:val="20"/>
          <w:szCs w:val="20"/>
          <w:lang w:eastAsia="en-GB"/>
        </w:rPr>
        <w:t>(8).</w:t>
      </w:r>
    </w:p>
    <w:p w14:paraId="7D4E7312" w14:textId="77777777" w:rsidR="00DE0DD9" w:rsidRPr="003F3BB6" w:rsidRDefault="00DE0DD9" w:rsidP="00DE0DD9">
      <w:pPr>
        <w:autoSpaceDE w:val="0"/>
        <w:autoSpaceDN w:val="0"/>
        <w:adjustRightInd w:val="0"/>
        <w:jc w:val="both"/>
        <w:rPr>
          <w:rFonts w:cs="Arial"/>
          <w:noProof w:val="0"/>
          <w:color w:val="000000"/>
          <w:sz w:val="20"/>
          <w:szCs w:val="20"/>
          <w:lang w:eastAsia="en-GB"/>
        </w:rPr>
      </w:pPr>
    </w:p>
    <w:p w14:paraId="45A164B0" w14:textId="77777777" w:rsidR="00DE0DD9" w:rsidRPr="003F3BB6" w:rsidRDefault="00DE0DD9" w:rsidP="00DE0DD9">
      <w:pPr>
        <w:autoSpaceDE w:val="0"/>
        <w:autoSpaceDN w:val="0"/>
        <w:adjustRightInd w:val="0"/>
        <w:jc w:val="both"/>
        <w:rPr>
          <w:rFonts w:cs="Arial"/>
          <w:noProof w:val="0"/>
          <w:color w:val="000000"/>
          <w:sz w:val="20"/>
          <w:szCs w:val="20"/>
          <w:lang w:eastAsia="en-GB"/>
        </w:rPr>
      </w:pPr>
      <w:r w:rsidRPr="003F3BB6">
        <w:rPr>
          <w:rFonts w:cs="Arial"/>
          <w:noProof w:val="0"/>
          <w:color w:val="000000"/>
          <w:sz w:val="20"/>
          <w:szCs w:val="20"/>
          <w:lang w:eastAsia="en-GB"/>
        </w:rPr>
        <w:t xml:space="preserve">The exposure limit value (ELV) is the maximum amount of vibration an employee may be exposed to on any single day. For hand-arm vibration the ELV is a daily exposure of 5 m/s2 </w:t>
      </w:r>
      <w:r w:rsidRPr="003F3BB6">
        <w:rPr>
          <w:rFonts w:cs="Arial"/>
          <w:i/>
          <w:iCs/>
          <w:noProof w:val="0"/>
          <w:color w:val="000000"/>
          <w:sz w:val="20"/>
          <w:szCs w:val="20"/>
          <w:lang w:eastAsia="en-GB"/>
        </w:rPr>
        <w:t>A</w:t>
      </w:r>
      <w:r w:rsidRPr="003F3BB6">
        <w:rPr>
          <w:rFonts w:cs="Arial"/>
          <w:noProof w:val="0"/>
          <w:color w:val="000000"/>
          <w:sz w:val="20"/>
          <w:szCs w:val="20"/>
          <w:lang w:eastAsia="en-GB"/>
        </w:rPr>
        <w:t xml:space="preserve">(8). </w:t>
      </w:r>
    </w:p>
    <w:p w14:paraId="5BA0842F" w14:textId="77777777" w:rsidR="00DE0DD9" w:rsidRPr="003F3BB6" w:rsidRDefault="00DE0DD9" w:rsidP="00DE0DD9">
      <w:pPr>
        <w:autoSpaceDE w:val="0"/>
        <w:autoSpaceDN w:val="0"/>
        <w:adjustRightInd w:val="0"/>
        <w:jc w:val="both"/>
        <w:rPr>
          <w:sz w:val="20"/>
          <w:szCs w:val="20"/>
        </w:rPr>
      </w:pPr>
    </w:p>
    <w:p w14:paraId="37FBED85" w14:textId="77777777" w:rsidR="00DE0DD9" w:rsidRPr="003F3BB6" w:rsidRDefault="007F04D8" w:rsidP="00DE0DD9">
      <w:pPr>
        <w:autoSpaceDE w:val="0"/>
        <w:autoSpaceDN w:val="0"/>
        <w:adjustRightInd w:val="0"/>
        <w:jc w:val="both"/>
        <w:rPr>
          <w:sz w:val="20"/>
          <w:szCs w:val="20"/>
        </w:rPr>
      </w:pPr>
      <w:r w:rsidRPr="003F3BB6">
        <w:rPr>
          <w:sz w:val="20"/>
          <w:szCs w:val="20"/>
        </w:rPr>
        <w:t xml:space="preserve">It is therefore </w:t>
      </w:r>
      <w:r w:rsidRPr="003F3BB6">
        <w:rPr>
          <w:i/>
          <w:sz w:val="20"/>
          <w:szCs w:val="20"/>
        </w:rPr>
        <w:t>(insert company name)</w:t>
      </w:r>
      <w:r w:rsidR="00DE0DD9" w:rsidRPr="003F3BB6">
        <w:rPr>
          <w:sz w:val="20"/>
          <w:szCs w:val="20"/>
        </w:rPr>
        <w:t xml:space="preserve"> policy to provide sufficicient training, information and guidance so as to ensure the safe use of its power tools, including limiting their permitted use within the appropriate EAV and ELV values.</w:t>
      </w:r>
    </w:p>
    <w:p w14:paraId="56D3D71D" w14:textId="77777777" w:rsidR="00DE0DD9" w:rsidRPr="003F3BB6" w:rsidRDefault="00DE0DD9" w:rsidP="00DE0DD9">
      <w:pPr>
        <w:spacing w:before="100" w:beforeAutospacing="1" w:after="100" w:afterAutospacing="1"/>
        <w:rPr>
          <w:sz w:val="20"/>
          <w:szCs w:val="20"/>
        </w:rPr>
      </w:pPr>
      <w:r w:rsidRPr="003F3BB6">
        <w:rPr>
          <w:b/>
          <w:sz w:val="20"/>
          <w:szCs w:val="20"/>
        </w:rPr>
        <w:t>POLICY</w:t>
      </w:r>
      <w:r w:rsidRPr="003F3BB6">
        <w:rPr>
          <w:sz w:val="20"/>
          <w:szCs w:val="20"/>
        </w:rPr>
        <w:t>:</w:t>
      </w:r>
    </w:p>
    <w:p w14:paraId="17F05E89" w14:textId="77777777" w:rsidR="00C0635A" w:rsidRPr="003F3BB6" w:rsidRDefault="00C0635A" w:rsidP="00C0635A">
      <w:pPr>
        <w:pStyle w:val="ListParagraph"/>
        <w:numPr>
          <w:ilvl w:val="0"/>
          <w:numId w:val="1"/>
        </w:numPr>
        <w:spacing w:before="100" w:beforeAutospacing="1" w:after="100" w:afterAutospacing="1"/>
        <w:rPr>
          <w:sz w:val="20"/>
          <w:szCs w:val="20"/>
        </w:rPr>
      </w:pPr>
      <w:r w:rsidRPr="003F3BB6">
        <w:rPr>
          <w:sz w:val="20"/>
          <w:szCs w:val="20"/>
        </w:rPr>
        <w:t xml:space="preserve">(Company name) will maintain records of all equipment (including fixed items) that may cause vibration and the type of use relevant for each item </w:t>
      </w:r>
    </w:p>
    <w:p w14:paraId="7B676FEE" w14:textId="77777777" w:rsidR="00C0635A" w:rsidRPr="003F3BB6" w:rsidRDefault="00C0635A" w:rsidP="00C0635A">
      <w:pPr>
        <w:pStyle w:val="ListParagraph"/>
        <w:numPr>
          <w:ilvl w:val="0"/>
          <w:numId w:val="1"/>
        </w:numPr>
        <w:spacing w:before="100" w:beforeAutospacing="1" w:after="100" w:afterAutospacing="1"/>
        <w:rPr>
          <w:sz w:val="20"/>
          <w:szCs w:val="20"/>
        </w:rPr>
      </w:pPr>
      <w:r w:rsidRPr="003F3BB6">
        <w:rPr>
          <w:sz w:val="20"/>
          <w:szCs w:val="20"/>
        </w:rPr>
        <w:t>Compile a file containing appropriate information  relating to make, model, power, vibration risks and vibration information etc. This information sought from product manufacturers.</w:t>
      </w:r>
    </w:p>
    <w:p w14:paraId="4A3DE636" w14:textId="77777777" w:rsidR="00C0635A" w:rsidRPr="003F3BB6" w:rsidRDefault="00372CF0" w:rsidP="00C0635A">
      <w:pPr>
        <w:pStyle w:val="ListParagraph"/>
        <w:numPr>
          <w:ilvl w:val="0"/>
          <w:numId w:val="1"/>
        </w:numPr>
        <w:spacing w:before="100" w:beforeAutospacing="1" w:after="100" w:afterAutospacing="1"/>
        <w:rPr>
          <w:sz w:val="20"/>
          <w:szCs w:val="20"/>
        </w:rPr>
      </w:pPr>
      <w:r w:rsidRPr="003F3BB6">
        <w:rPr>
          <w:sz w:val="20"/>
          <w:szCs w:val="20"/>
        </w:rPr>
        <w:t>Provide employees with all necessary information, instruction, training and supervision necessary to control the risks from vibration when using equipment</w:t>
      </w:r>
    </w:p>
    <w:p w14:paraId="43B57D0F" w14:textId="77777777" w:rsidR="00372CF0" w:rsidRPr="003F3BB6" w:rsidRDefault="00372CF0" w:rsidP="00C0635A">
      <w:pPr>
        <w:pStyle w:val="ListParagraph"/>
        <w:numPr>
          <w:ilvl w:val="0"/>
          <w:numId w:val="1"/>
        </w:numPr>
        <w:spacing w:before="100" w:beforeAutospacing="1" w:after="100" w:afterAutospacing="1"/>
        <w:rPr>
          <w:sz w:val="20"/>
          <w:szCs w:val="20"/>
        </w:rPr>
      </w:pPr>
      <w:r w:rsidRPr="003F3BB6">
        <w:rPr>
          <w:sz w:val="20"/>
          <w:szCs w:val="20"/>
        </w:rPr>
        <w:t>Consult with employees to ensure equipment</w:t>
      </w:r>
      <w:r w:rsidR="00504F25" w:rsidRPr="003F3BB6">
        <w:rPr>
          <w:sz w:val="20"/>
          <w:szCs w:val="20"/>
        </w:rPr>
        <w:t xml:space="preserve"> </w:t>
      </w:r>
      <w:r w:rsidRPr="003F3BB6">
        <w:rPr>
          <w:sz w:val="20"/>
          <w:szCs w:val="20"/>
        </w:rPr>
        <w:t xml:space="preserve"> is suitable for task and can be utilised to minimise the effects from vibration</w:t>
      </w:r>
    </w:p>
    <w:p w14:paraId="248B8151" w14:textId="77777777" w:rsidR="00372CF0" w:rsidRPr="003F3BB6" w:rsidRDefault="00372CF0" w:rsidP="00C0635A">
      <w:pPr>
        <w:pStyle w:val="ListParagraph"/>
        <w:numPr>
          <w:ilvl w:val="0"/>
          <w:numId w:val="1"/>
        </w:numPr>
        <w:spacing w:before="100" w:beforeAutospacing="1" w:after="100" w:afterAutospacing="1"/>
        <w:rPr>
          <w:sz w:val="20"/>
          <w:szCs w:val="20"/>
        </w:rPr>
      </w:pPr>
      <w:r w:rsidRPr="003F3BB6">
        <w:rPr>
          <w:sz w:val="20"/>
          <w:szCs w:val="20"/>
        </w:rPr>
        <w:t>Ensure that equipment maintainance is carried out according to manufacturers guidelines and that equipment is stored appropriately</w:t>
      </w:r>
    </w:p>
    <w:p w14:paraId="16ECC43D" w14:textId="77777777" w:rsidR="00E750DF" w:rsidRPr="003F3BB6" w:rsidRDefault="00E750DF" w:rsidP="00E750DF">
      <w:pPr>
        <w:pStyle w:val="ListParagraph"/>
        <w:numPr>
          <w:ilvl w:val="0"/>
          <w:numId w:val="1"/>
        </w:numPr>
        <w:spacing w:before="100" w:beforeAutospacing="1" w:after="100" w:afterAutospacing="1"/>
        <w:rPr>
          <w:sz w:val="20"/>
          <w:szCs w:val="20"/>
        </w:rPr>
      </w:pPr>
      <w:r w:rsidRPr="003F3BB6">
        <w:rPr>
          <w:sz w:val="20"/>
          <w:szCs w:val="20"/>
        </w:rPr>
        <w:t>Source equipment with regard to suitability for the work, efficiency and lowest vibration levels</w:t>
      </w:r>
    </w:p>
    <w:p w14:paraId="14311A66" w14:textId="77777777" w:rsidR="00E750DF" w:rsidRPr="003F3BB6" w:rsidRDefault="00504F25" w:rsidP="00E750DF">
      <w:pPr>
        <w:pStyle w:val="ListParagraph"/>
        <w:numPr>
          <w:ilvl w:val="0"/>
          <w:numId w:val="1"/>
        </w:numPr>
        <w:spacing w:before="100" w:beforeAutospacing="1" w:after="100" w:afterAutospacing="1"/>
        <w:rPr>
          <w:sz w:val="20"/>
          <w:szCs w:val="20"/>
        </w:rPr>
      </w:pPr>
      <w:r w:rsidRPr="003F3BB6">
        <w:rPr>
          <w:sz w:val="20"/>
          <w:szCs w:val="20"/>
        </w:rPr>
        <w:t>Complete risk assessments to evaluate the and control the vibration risk</w:t>
      </w:r>
    </w:p>
    <w:p w14:paraId="3ACE8469" w14:textId="77777777" w:rsidR="003F3BB6" w:rsidRPr="003F3BB6" w:rsidRDefault="00504F25" w:rsidP="003F3BB6">
      <w:pPr>
        <w:pStyle w:val="ListParagraph"/>
        <w:numPr>
          <w:ilvl w:val="0"/>
          <w:numId w:val="1"/>
        </w:numPr>
        <w:spacing w:before="100" w:beforeAutospacing="1" w:after="100" w:afterAutospacing="1"/>
        <w:rPr>
          <w:sz w:val="20"/>
          <w:szCs w:val="20"/>
        </w:rPr>
      </w:pPr>
      <w:r w:rsidRPr="003F3BB6">
        <w:rPr>
          <w:sz w:val="20"/>
          <w:szCs w:val="20"/>
        </w:rPr>
        <w:t xml:space="preserve">Implement health surveillance for all employees identified as being at risk from </w:t>
      </w:r>
      <w:r w:rsidR="003F3BB6" w:rsidRPr="003F3BB6">
        <w:rPr>
          <w:sz w:val="20"/>
          <w:szCs w:val="20"/>
        </w:rPr>
        <w:t>vibration</w:t>
      </w:r>
    </w:p>
    <w:p w14:paraId="1FBA8351" w14:textId="77777777" w:rsidR="00DE0DD9" w:rsidRPr="003F3BB6" w:rsidRDefault="003F3BB6" w:rsidP="003F3BB6">
      <w:pPr>
        <w:pStyle w:val="ListParagraph"/>
        <w:numPr>
          <w:ilvl w:val="0"/>
          <w:numId w:val="1"/>
        </w:numPr>
        <w:spacing w:before="100" w:beforeAutospacing="1" w:after="100" w:afterAutospacing="1"/>
        <w:rPr>
          <w:sz w:val="20"/>
          <w:szCs w:val="20"/>
        </w:rPr>
      </w:pPr>
      <w:r w:rsidRPr="003F3BB6">
        <w:rPr>
          <w:sz w:val="20"/>
          <w:szCs w:val="20"/>
        </w:rPr>
        <w:t xml:space="preserve">Compile and maintain a HAVS Calculator </w:t>
      </w:r>
      <w:r w:rsidR="00085F63">
        <w:rPr>
          <w:sz w:val="20"/>
          <w:szCs w:val="20"/>
        </w:rPr>
        <w:t xml:space="preserve">inventory, </w:t>
      </w:r>
      <w:r w:rsidRPr="003F3BB6">
        <w:rPr>
          <w:sz w:val="20"/>
          <w:szCs w:val="20"/>
        </w:rPr>
        <w:t>detailing</w:t>
      </w:r>
      <w:r w:rsidR="00DE0DD9" w:rsidRPr="003F3BB6">
        <w:rPr>
          <w:sz w:val="20"/>
          <w:szCs w:val="20"/>
        </w:rPr>
        <w:t xml:space="preserve"> EAV and ELV value</w:t>
      </w:r>
      <w:r w:rsidRPr="003F3BB6">
        <w:rPr>
          <w:sz w:val="20"/>
          <w:szCs w:val="20"/>
        </w:rPr>
        <w:t>s</w:t>
      </w:r>
      <w:r w:rsidR="00DE0DD9" w:rsidRPr="003F3BB6">
        <w:rPr>
          <w:sz w:val="20"/>
          <w:szCs w:val="20"/>
        </w:rPr>
        <w:t xml:space="preserve">, which have been calculated by entering the particular tool’s vibration magnitude (in m/s2 from the manufacturer’s technical data) into the Health &amp; Safety Executive’s HAVS Calculator. </w:t>
      </w:r>
    </w:p>
    <w:p w14:paraId="514C85BA" w14:textId="77777777" w:rsidR="00DE0DD9" w:rsidRPr="003F3BB6" w:rsidRDefault="00DE0DD9" w:rsidP="00DE0DD9">
      <w:pPr>
        <w:spacing w:before="100" w:beforeAutospacing="1" w:after="100" w:afterAutospacing="1"/>
        <w:jc w:val="both"/>
        <w:rPr>
          <w:sz w:val="20"/>
          <w:szCs w:val="20"/>
        </w:rPr>
      </w:pPr>
      <w:r w:rsidRPr="003F3BB6">
        <w:rPr>
          <w:sz w:val="20"/>
          <w:szCs w:val="20"/>
        </w:rPr>
        <w:t xml:space="preserve">The HSE HAVS Calculator available at </w:t>
      </w:r>
      <w:hyperlink r:id="rId6" w:history="1">
        <w:r w:rsidRPr="003F3BB6">
          <w:rPr>
            <w:rStyle w:val="Hyperlink"/>
            <w:sz w:val="20"/>
            <w:szCs w:val="20"/>
          </w:rPr>
          <w:t>http://www.hse.gov.uk/vibration/hav/vibrationcalc.htm</w:t>
        </w:r>
      </w:hyperlink>
      <w:r w:rsidRPr="003F3BB6">
        <w:rPr>
          <w:sz w:val="20"/>
          <w:szCs w:val="20"/>
        </w:rPr>
        <w:t xml:space="preserve"> </w:t>
      </w:r>
    </w:p>
    <w:p w14:paraId="7FB31F76" w14:textId="77777777" w:rsidR="00DE0DD9" w:rsidRPr="003F3BB6" w:rsidRDefault="00DE0DD9" w:rsidP="00DE0DD9">
      <w:pPr>
        <w:autoSpaceDE w:val="0"/>
        <w:autoSpaceDN w:val="0"/>
        <w:adjustRightInd w:val="0"/>
        <w:jc w:val="both"/>
        <w:rPr>
          <w:rFonts w:cs="Arial"/>
          <w:b/>
          <w:bCs/>
          <w:sz w:val="20"/>
          <w:szCs w:val="20"/>
        </w:rPr>
      </w:pPr>
      <w:r w:rsidRPr="003F3BB6">
        <w:rPr>
          <w:rFonts w:cs="Arial"/>
          <w:b/>
          <w:bCs/>
          <w:sz w:val="20"/>
          <w:szCs w:val="20"/>
        </w:rPr>
        <w:t>REVIEW:</w:t>
      </w:r>
    </w:p>
    <w:p w14:paraId="15CAEB7B" w14:textId="77777777" w:rsidR="00DE0DD9" w:rsidRPr="003F3BB6" w:rsidRDefault="00DE0DD9" w:rsidP="00DE0DD9">
      <w:pPr>
        <w:autoSpaceDE w:val="0"/>
        <w:autoSpaceDN w:val="0"/>
        <w:adjustRightInd w:val="0"/>
        <w:jc w:val="both"/>
        <w:rPr>
          <w:rFonts w:cs="Arial"/>
          <w:b/>
          <w:bCs/>
          <w:sz w:val="20"/>
          <w:szCs w:val="20"/>
        </w:rPr>
      </w:pPr>
    </w:p>
    <w:p w14:paraId="24B879AB" w14:textId="77777777" w:rsidR="003F3BB6" w:rsidRPr="003F3BB6" w:rsidRDefault="00DE0DD9" w:rsidP="003F3BB6">
      <w:pPr>
        <w:pStyle w:val="BodyText2"/>
        <w:ind w:right="-1130"/>
        <w:jc w:val="both"/>
        <w:rPr>
          <w:rFonts w:cs="Arial"/>
          <w:color w:val="auto"/>
          <w:sz w:val="20"/>
          <w:szCs w:val="20"/>
        </w:rPr>
      </w:pPr>
      <w:r w:rsidRPr="003F3BB6">
        <w:rPr>
          <w:rFonts w:cs="Arial"/>
          <w:color w:val="auto"/>
          <w:sz w:val="20"/>
          <w:szCs w:val="20"/>
        </w:rPr>
        <w:t>This policy statement</w:t>
      </w:r>
      <w:r w:rsidR="00E750DF" w:rsidRPr="003F3BB6">
        <w:rPr>
          <w:rFonts w:cs="Arial"/>
          <w:color w:val="auto"/>
          <w:sz w:val="20"/>
          <w:szCs w:val="20"/>
        </w:rPr>
        <w:t xml:space="preserve"> is reviewed annually by (enter name or job tit</w:t>
      </w:r>
      <w:r w:rsidR="003F3BB6" w:rsidRPr="003F3BB6">
        <w:rPr>
          <w:rFonts w:cs="Arial"/>
          <w:color w:val="auto"/>
          <w:sz w:val="20"/>
          <w:szCs w:val="20"/>
        </w:rPr>
        <w:t>le)</w:t>
      </w:r>
    </w:p>
    <w:p w14:paraId="54206080" w14:textId="77777777" w:rsidR="003F3BB6" w:rsidRDefault="003F3BB6" w:rsidP="003F3BB6">
      <w:pPr>
        <w:pStyle w:val="BodyText2"/>
        <w:ind w:right="-1130"/>
        <w:jc w:val="both"/>
        <w:rPr>
          <w:rFonts w:cs="Arial"/>
          <w:color w:val="auto"/>
          <w:sz w:val="22"/>
        </w:rPr>
      </w:pPr>
    </w:p>
    <w:p w14:paraId="7922DDFF" w14:textId="77777777" w:rsidR="00DE0DD9" w:rsidRPr="003F3BB6" w:rsidRDefault="00E750DF" w:rsidP="003F3BB6">
      <w:pPr>
        <w:pStyle w:val="BodyText2"/>
        <w:ind w:right="-1130"/>
        <w:jc w:val="both"/>
        <w:rPr>
          <w:rFonts w:cs="Arial"/>
          <w:color w:val="auto"/>
          <w:sz w:val="22"/>
        </w:rPr>
      </w:pPr>
      <w:r w:rsidRPr="003F3BB6">
        <w:rPr>
          <w:rFonts w:cs="Arial"/>
          <w:sz w:val="20"/>
          <w:szCs w:val="20"/>
        </w:rPr>
        <w:t>Dated</w:t>
      </w:r>
      <w:r>
        <w:rPr>
          <w:rFonts w:cs="Arial"/>
        </w:rPr>
        <w:t xml:space="preserve">: </w:t>
      </w:r>
      <w:r>
        <w:rPr>
          <w:rFonts w:cs="Arial"/>
        </w:rPr>
        <w:tab/>
      </w:r>
      <w:r>
        <w:rPr>
          <w:rFonts w:cs="Arial"/>
        </w:rPr>
        <w:tab/>
      </w:r>
    </w:p>
    <w:p w14:paraId="49AB7520" w14:textId="77777777" w:rsidR="00DE0DD9" w:rsidRDefault="00DE0DD9" w:rsidP="00DE0DD9">
      <w:pPr>
        <w:jc w:val="both"/>
        <w:rPr>
          <w:rFonts w:cs="Arial"/>
        </w:rPr>
      </w:pPr>
    </w:p>
    <w:p w14:paraId="51B91F45" w14:textId="77777777" w:rsidR="00DE0DD9" w:rsidRDefault="00E750DF" w:rsidP="00DE0DD9">
      <w:pPr>
        <w:jc w:val="both"/>
        <w:rPr>
          <w:rFonts w:cs="Arial"/>
          <w:i/>
        </w:rPr>
      </w:pPr>
      <w:r>
        <w:rPr>
          <w:rFonts w:cs="Arial"/>
        </w:rPr>
        <w:t xml:space="preserve">Review Date: </w:t>
      </w:r>
      <w:r>
        <w:rPr>
          <w:rFonts w:cs="Arial"/>
        </w:rPr>
        <w:tab/>
      </w:r>
      <w:r w:rsidRPr="00E750DF">
        <w:rPr>
          <w:rFonts w:cs="Arial"/>
          <w:i/>
        </w:rPr>
        <w:t>Normally annual</w:t>
      </w:r>
    </w:p>
    <w:p w14:paraId="45F18151" w14:textId="77777777" w:rsidR="00142B40" w:rsidRDefault="00142B40" w:rsidP="00DE0DD9">
      <w:pPr>
        <w:jc w:val="both"/>
        <w:rPr>
          <w:rFonts w:cs="Arial"/>
        </w:rPr>
      </w:pPr>
    </w:p>
    <w:p w14:paraId="5CFAE5CD" w14:textId="77777777" w:rsidR="00142B40" w:rsidRPr="00142B40" w:rsidRDefault="00142B40" w:rsidP="00142B40">
      <w:pPr>
        <w:jc w:val="both"/>
        <w:rPr>
          <w:rFonts w:cs="Arial"/>
          <w:sz w:val="18"/>
          <w:szCs w:val="18"/>
        </w:rPr>
      </w:pPr>
      <w:r w:rsidRPr="00142B40">
        <w:rPr>
          <w:rFonts w:cs="Arial"/>
          <w:snapToGrid w:val="0"/>
          <w:sz w:val="18"/>
          <w:szCs w:val="18"/>
        </w:rPr>
        <w:t>[NOTE – AFI makes available a number of business documents, policies and templates to assist members in the development of their own company-specific versions. These templates are not to be used verbatim; rather they must be reviewed and amended to suit the members’ own and statutory requirements relevant at the time. AFI cannot be responsible for the use or misuse of these templates]</w:t>
      </w:r>
    </w:p>
    <w:p w14:paraId="204EE076" w14:textId="77777777" w:rsidR="00142B40" w:rsidRDefault="00142B40" w:rsidP="00DE0DD9">
      <w:pPr>
        <w:jc w:val="both"/>
        <w:rPr>
          <w:rFonts w:cs="Arial"/>
        </w:rPr>
      </w:pPr>
    </w:p>
    <w:p w14:paraId="0D05D36E" w14:textId="77777777" w:rsidR="00E4089D" w:rsidRDefault="00E4089D"/>
    <w:sectPr w:rsidR="00E4089D" w:rsidSect="00E40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04605"/>
    <w:multiLevelType w:val="hybridMultilevel"/>
    <w:tmpl w:val="8DCC6AF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D9"/>
    <w:rsid w:val="00085F63"/>
    <w:rsid w:val="00142B40"/>
    <w:rsid w:val="002E3711"/>
    <w:rsid w:val="00372CF0"/>
    <w:rsid w:val="003C4B03"/>
    <w:rsid w:val="003F3BB6"/>
    <w:rsid w:val="00504F25"/>
    <w:rsid w:val="00723529"/>
    <w:rsid w:val="007F04D8"/>
    <w:rsid w:val="009B4910"/>
    <w:rsid w:val="00C0635A"/>
    <w:rsid w:val="00C23E99"/>
    <w:rsid w:val="00C27501"/>
    <w:rsid w:val="00C8405A"/>
    <w:rsid w:val="00CB2142"/>
    <w:rsid w:val="00DE0DD9"/>
    <w:rsid w:val="00E4089D"/>
    <w:rsid w:val="00E7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30AC"/>
  <w15:docId w15:val="{ECAC49F8-D8D6-41B0-97ED-A1111366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DD9"/>
    <w:pPr>
      <w:spacing w:line="240" w:lineRule="auto"/>
    </w:pPr>
    <w:rPr>
      <w:rFonts w:ascii="Arial" w:eastAsia="Times New Roman" w:hAnsi="Arial" w:cs="Times New Roman"/>
      <w:noProof/>
      <w:szCs w:val="24"/>
    </w:rPr>
  </w:style>
  <w:style w:type="paragraph" w:styleId="Heading4">
    <w:name w:val="heading 4"/>
    <w:basedOn w:val="Normal"/>
    <w:next w:val="Normal"/>
    <w:link w:val="Heading4Char"/>
    <w:semiHidden/>
    <w:unhideWhenUsed/>
    <w:qFormat/>
    <w:rsid w:val="00DE0DD9"/>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E0DD9"/>
    <w:rPr>
      <w:rFonts w:ascii="Arial" w:eastAsia="Times New Roman" w:hAnsi="Arial" w:cs="Times New Roman"/>
      <w:noProof/>
      <w:sz w:val="24"/>
      <w:szCs w:val="24"/>
      <w:u w:val="single"/>
    </w:rPr>
  </w:style>
  <w:style w:type="character" w:styleId="Hyperlink">
    <w:name w:val="Hyperlink"/>
    <w:semiHidden/>
    <w:unhideWhenUsed/>
    <w:rsid w:val="00DE0DD9"/>
    <w:rPr>
      <w:color w:val="0000FF"/>
      <w:u w:val="single"/>
    </w:rPr>
  </w:style>
  <w:style w:type="paragraph" w:styleId="BodyText2">
    <w:name w:val="Body Text 2"/>
    <w:basedOn w:val="Normal"/>
    <w:link w:val="BodyText2Char"/>
    <w:unhideWhenUsed/>
    <w:rsid w:val="00DE0DD9"/>
    <w:pPr>
      <w:jc w:val="right"/>
    </w:pPr>
    <w:rPr>
      <w:color w:val="003366"/>
      <w:sz w:val="16"/>
    </w:rPr>
  </w:style>
  <w:style w:type="character" w:customStyle="1" w:styleId="BodyText2Char">
    <w:name w:val="Body Text 2 Char"/>
    <w:basedOn w:val="DefaultParagraphFont"/>
    <w:link w:val="BodyText2"/>
    <w:rsid w:val="00DE0DD9"/>
    <w:rPr>
      <w:rFonts w:ascii="Arial" w:eastAsia="Times New Roman" w:hAnsi="Arial" w:cs="Times New Roman"/>
      <w:noProof/>
      <w:color w:val="003366"/>
      <w:sz w:val="16"/>
      <w:szCs w:val="24"/>
    </w:rPr>
  </w:style>
  <w:style w:type="paragraph" w:styleId="ListParagraph">
    <w:name w:val="List Paragraph"/>
    <w:basedOn w:val="Normal"/>
    <w:uiPriority w:val="34"/>
    <w:qFormat/>
    <w:rsid w:val="00C06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vibration/hav/vibrationcalc.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User</dc:creator>
  <cp:lastModifiedBy>Jennifer Shail</cp:lastModifiedBy>
  <cp:revision>2</cp:revision>
  <dcterms:created xsi:type="dcterms:W3CDTF">2018-05-31T08:31:00Z</dcterms:created>
  <dcterms:modified xsi:type="dcterms:W3CDTF">2018-05-31T08:31:00Z</dcterms:modified>
</cp:coreProperties>
</file>